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CÔNG TY C</w:t>
      </w:r>
      <w:r w:rsidRPr="00BE5BB2">
        <w:rPr>
          <w:rFonts w:ascii="Arial" w:eastAsia="Times New Roman" w:hAnsi="Arial" w:cs="Arial"/>
          <w:b/>
          <w:bCs/>
          <w:sz w:val="24"/>
          <w:szCs w:val="24"/>
        </w:rPr>
        <w:t>Ổ</w:t>
      </w:r>
      <w:r w:rsidRPr="00BE5BB2">
        <w:rPr>
          <w:rFonts w:ascii="Times New Roman" w:eastAsia="Times New Roman" w:hAnsi="Times New Roman" w:cs="Times New Roman"/>
          <w:b/>
          <w:bCs/>
          <w:sz w:val="24"/>
          <w:szCs w:val="24"/>
        </w:rPr>
        <w:t xml:space="preserve"> PH</w:t>
      </w:r>
      <w:r w:rsidRPr="00BE5BB2">
        <w:rPr>
          <w:rFonts w:ascii="Arial" w:eastAsia="Times New Roman" w:hAnsi="Arial" w:cs="Arial"/>
          <w:b/>
          <w:bCs/>
          <w:sz w:val="24"/>
          <w:szCs w:val="24"/>
        </w:rPr>
        <w:t>Ầ</w:t>
      </w:r>
      <w:r w:rsidRPr="00BE5BB2">
        <w:rPr>
          <w:rFonts w:ascii="Times New Roman" w:eastAsia="Times New Roman" w:hAnsi="Times New Roman" w:cs="Times New Roman"/>
          <w:b/>
          <w:bCs/>
          <w:sz w:val="24"/>
          <w:szCs w:val="24"/>
        </w:rPr>
        <w:t>N B</w:t>
      </w:r>
      <w:r w:rsidRPr="00BE5BB2">
        <w:rPr>
          <w:rFonts w:ascii="Arial" w:eastAsia="Times New Roman" w:hAnsi="Arial" w:cs="Arial"/>
          <w:b/>
          <w:bCs/>
          <w:sz w:val="24"/>
          <w:szCs w:val="24"/>
        </w:rPr>
        <w:t>Ộ</w:t>
      </w:r>
      <w:r w:rsidRPr="00BE5BB2">
        <w:rPr>
          <w:rFonts w:ascii="Times New Roman" w:eastAsia="Times New Roman" w:hAnsi="Times New Roman" w:cs="Times New Roman"/>
          <w:b/>
          <w:bCs/>
          <w:sz w:val="24"/>
          <w:szCs w:val="24"/>
        </w:rPr>
        <w:t>T GI</w:t>
      </w:r>
      <w:r w:rsidRPr="00BE5BB2">
        <w:rPr>
          <w:rFonts w:ascii="Arial" w:eastAsia="Times New Roman" w:hAnsi="Arial" w:cs="Arial"/>
          <w:b/>
          <w:bCs/>
          <w:sz w:val="24"/>
          <w:szCs w:val="24"/>
        </w:rPr>
        <w:t>Ặ</w:t>
      </w:r>
      <w:r w:rsidRPr="00BE5BB2">
        <w:rPr>
          <w:rFonts w:ascii="Times New Roman" w:eastAsia="Times New Roman" w:hAnsi="Times New Roman" w:cs="Times New Roman"/>
          <w:b/>
          <w:bCs/>
          <w:sz w:val="24"/>
          <w:szCs w:val="24"/>
        </w:rPr>
        <w:t>T VÀ HÓA CH</w:t>
      </w:r>
      <w:r w:rsidRPr="00BE5BB2">
        <w:rPr>
          <w:rFonts w:ascii="Arial" w:eastAsia="Times New Roman" w:hAnsi="Arial" w:cs="Arial"/>
          <w:b/>
          <w:bCs/>
          <w:sz w:val="24"/>
          <w:szCs w:val="24"/>
        </w:rPr>
        <w:t>Ấ</w:t>
      </w:r>
      <w:r w:rsidRPr="00BE5BB2">
        <w:rPr>
          <w:rFonts w:ascii="Times New Roman" w:eastAsia="Times New Roman" w:hAnsi="Times New Roman" w:cs="Times New Roman"/>
          <w:b/>
          <w:bCs/>
          <w:sz w:val="24"/>
          <w:szCs w:val="24"/>
        </w:rPr>
        <w:t>T Đ</w:t>
      </w:r>
      <w:r w:rsidRPr="00BE5BB2">
        <w:rPr>
          <w:rFonts w:ascii="Arial" w:eastAsia="Times New Roman" w:hAnsi="Arial" w:cs="Arial"/>
          <w:b/>
          <w:bCs/>
          <w:sz w:val="24"/>
          <w:szCs w:val="24"/>
        </w:rPr>
        <w:t>Ứ</w:t>
      </w:r>
      <w:r w:rsidRPr="00BE5BB2">
        <w:rPr>
          <w:rFonts w:ascii="Times New Roman" w:eastAsia="Times New Roman" w:hAnsi="Times New Roman" w:cs="Times New Roman"/>
          <w:b/>
          <w:bCs/>
          <w:sz w:val="24"/>
          <w:szCs w:val="24"/>
        </w:rPr>
        <w:t>C GIANG</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(Thành lập tại nước Cộng hoà Xã hội Chủ nghĩa Việt Nam)</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BÁO CÁO TÀI CHÍNH HỢP NHẤT </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QUÝ 3 NĂM 2013</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CHO GIAI ĐOẠN HOẠT ĐỘNG 01/07/2013 ĐẾN NGÀY 30 THÁNG 09 NĂM 2013</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Hà Nội, tháng 10 năm 2013</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lastRenderedPageBreak/>
        <w:t>MỤC LỤC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bl>
      <w:tblPr>
        <w:tblW w:w="9180" w:type="dxa"/>
        <w:tblCellSpacing w:w="0" w:type="dxa"/>
        <w:tblCellMar>
          <w:left w:w="0" w:type="dxa"/>
          <w:right w:w="0" w:type="dxa"/>
        </w:tblCellMar>
        <w:tblLook w:val="04A0"/>
      </w:tblPr>
      <w:tblGrid>
        <w:gridCol w:w="7380"/>
        <w:gridCol w:w="1800"/>
      </w:tblGrid>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u w:val="single"/>
              </w:rPr>
              <w:t>NỘI DUNG</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u w:val="single"/>
              </w:rPr>
              <w:t>TRANG</w:t>
            </w:r>
          </w:p>
        </w:tc>
      </w:tr>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r>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BÁO CÁO CỦA BAN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w:t>
            </w:r>
          </w:p>
        </w:tc>
      </w:tr>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BẢNG CÂN ĐỐI KẾ TOÁN HỢP NHẤT</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 – 3</w:t>
            </w:r>
          </w:p>
        </w:tc>
      </w:tr>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180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r>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BÁO CÁO KẾT QUẢ HOẠT ĐỘNG KINH DOANH HỢP NHẤT</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w:t>
            </w:r>
          </w:p>
        </w:tc>
      </w:tr>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r>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BÁO CÁO LƯU CHUYỂN TIỀN TỆ HỢP NHẤT</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5</w:t>
            </w:r>
          </w:p>
        </w:tc>
      </w:tr>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r>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BẢN THUYẾT MINH BÁO CÁO TÀI CHÍNH HỢP NHẤT</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6- 27</w:t>
            </w:r>
          </w:p>
        </w:tc>
      </w:tr>
      <w:tr w:rsidR="00BE5BB2" w:rsidRPr="00BE5BB2" w:rsidTr="00BE5BB2">
        <w:trPr>
          <w:tblCellSpacing w:w="0" w:type="dxa"/>
        </w:trPr>
        <w:tc>
          <w:tcPr>
            <w:tcW w:w="738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r>
    </w:tbl>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lastRenderedPageBreak/>
        <w:t>BÁO CÁO CỦA BAN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Ban Giám đốc Công ty Cổ phần Bột giặt và Hóa chất Đức Giang (gọi tắt là "Công ty") đệ trình báo cáo này cùng với Báo cáo tài chính hợp nhất của Công ty cho giai đoạn hoạt động từ ngày 01/07/2013 đến ngày 30/09/2013.</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HỘI ĐỒNG QUẢN TRỊ VÀ BAN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Các thành viên của Hội đồng Quản trị và Ban Giám đốc điều hành Công ty trong kỳ và đến ngày lập báo cáo này gồm:</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Hội đồng Quản trị</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Ông Đào Hữu Huyền                              Chủ tịch</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Ông Đào Việt Hưng                               Thành viên</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Ông Lưu Bách Đạt                                 Thành viên</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Bà Phan Thị Nhung                                Thành viên</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Ông Lại Cao Hiến                                  Thành viên</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Ban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Ông Đào Hữu Huyền                              Tổng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Ông Đào Việt Hưng                               Phó Tổng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Ông Đào Hữu Duy Anh                          Phó Tổng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TRÁCH NHIỆM CỦA BAN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Ban Giám đốc Công ty có trách nhiệm lập báo cáo tài chính hợp nhất phản ánh một cách trung thực và hợp lý tình hình tài chính cũng như kết quả hoạt động kinh doanh và tình hình lưu chuyển tiền tệ của Công ty trong kỳ. Trong việc lập Báo cáo tài chính hợp nhất này, Ban Giám đốc được yêu cầu phải:</w:t>
      </w:r>
    </w:p>
    <w:p w:rsidR="00BE5BB2" w:rsidRPr="00BE5BB2" w:rsidRDefault="00BE5BB2" w:rsidP="00BE5B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Lựa chọn các chính sách kế toán thích hợp và áp dụng các chính sách đó một cách nhất quán;</w:t>
      </w:r>
    </w:p>
    <w:p w:rsidR="00BE5BB2" w:rsidRPr="00BE5BB2" w:rsidRDefault="00BE5BB2" w:rsidP="00BE5B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lastRenderedPageBreak/>
        <w:t>Đưa ra các xét đoán và ước tính một cách hợp lý và thận trọng;</w:t>
      </w:r>
    </w:p>
    <w:p w:rsidR="00BE5BB2" w:rsidRPr="00BE5BB2" w:rsidRDefault="00BE5BB2" w:rsidP="00BE5B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xml:space="preserve">Nêu rõ các nguyên tắc kế toán thích hợp có được tuân thủ hay không, có những áp dụng sai lệch trọng yếu cần được công bố và giải thích trong báo cáo tài chính hợp nhất hay không; </w:t>
      </w:r>
    </w:p>
    <w:p w:rsidR="00BE5BB2" w:rsidRPr="00BE5BB2" w:rsidRDefault="00BE5BB2" w:rsidP="00BE5B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Lập báo cáo tài chính hợp nhất trên cơ sở hoạt động liên tục trừ trường hợp không thể cho rằng Công ty sẽ tiếp tục hoạt động kinh doanh; và</w:t>
      </w:r>
    </w:p>
    <w:p w:rsidR="00BE5BB2" w:rsidRPr="00BE5BB2" w:rsidRDefault="00BE5BB2" w:rsidP="00BE5B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Thiết kế và thực hiện hệ thống kiểm soát nội bộ một cách hữu hiệu cho mục đích lập và trình bày báo cáo tài chính hợp nhất hợp lý nhằm hạn chế rủi ro và gian lận.</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Ban Giám đốc Công ty chịu trách nhiệm đảm bảo rằng báo cáo tài chính hợp nhất tuân thủ các Chuẩn mực Kế toán Việt Nam, Hệ thống Kế toán Việt Nam và các quy định hiện hành khác về kế toán tại Việt Nam.</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Thay mặt và đại diện cho Ban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bl>
      <w:tblPr>
        <w:tblW w:w="9180" w:type="dxa"/>
        <w:tblCellSpacing w:w="0" w:type="dxa"/>
        <w:tblCellMar>
          <w:left w:w="0" w:type="dxa"/>
          <w:right w:w="0" w:type="dxa"/>
        </w:tblCellMar>
        <w:tblLook w:val="04A0"/>
      </w:tblPr>
      <w:tblGrid>
        <w:gridCol w:w="2970"/>
        <w:gridCol w:w="3510"/>
        <w:gridCol w:w="2700"/>
      </w:tblGrid>
      <w:tr w:rsidR="00BE5BB2" w:rsidRPr="00BE5BB2" w:rsidTr="00BE5BB2">
        <w:trPr>
          <w:tblCellSpacing w:w="0" w:type="dxa"/>
        </w:trPr>
        <w:tc>
          <w:tcPr>
            <w:tcW w:w="2970" w:type="dxa"/>
            <w:hideMark/>
          </w:tcPr>
          <w:p w:rsidR="00BE5BB2" w:rsidRPr="00BE5BB2" w:rsidRDefault="00BE5BB2" w:rsidP="00BE5BB2">
            <w:pPr>
              <w:spacing w:before="100" w:beforeAutospacing="1" w:after="100" w:afterAutospacing="1" w:line="240" w:lineRule="auto"/>
              <w:outlineLvl w:val="1"/>
              <w:rPr>
                <w:rFonts w:ascii="Times New Roman" w:eastAsia="Times New Roman" w:hAnsi="Times New Roman" w:cs="Times New Roman"/>
                <w:b/>
                <w:bCs/>
                <w:sz w:val="36"/>
                <w:szCs w:val="36"/>
              </w:rPr>
            </w:pPr>
            <w:r w:rsidRPr="00BE5BB2">
              <w:rPr>
                <w:rFonts w:ascii="Times New Roman" w:eastAsia="Times New Roman" w:hAnsi="Times New Roman" w:cs="Times New Roman"/>
                <w:b/>
                <w:bCs/>
                <w:sz w:val="36"/>
                <w:szCs w:val="36"/>
              </w:rPr>
              <w:t>Đào Hữu Huyền</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Tổng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Ngày 26 tháng 10 năm 2013</w:t>
            </w:r>
          </w:p>
        </w:tc>
        <w:tc>
          <w:tcPr>
            <w:tcW w:w="351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270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r>
    </w:tbl>
    <w:p w:rsidR="00BE5BB2" w:rsidRPr="00BE5BB2" w:rsidRDefault="00BE5BB2" w:rsidP="00BE5BB2">
      <w:pPr>
        <w:spacing w:before="100" w:beforeAutospacing="1" w:after="240"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lastRenderedPageBreak/>
        <w:t>BẢNG CÂN ĐỐI KẾ TOÁN HỢP NHẤT</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Tại ngày 30 tháng 9 năm 2013</w:t>
      </w:r>
    </w:p>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MẪU SỐ B 01-DN/HN</w:t>
      </w:r>
    </w:p>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Đơn vị tính: VND</w:t>
      </w:r>
    </w:p>
    <w:tbl>
      <w:tblPr>
        <w:tblW w:w="9270" w:type="dxa"/>
        <w:tblCellSpacing w:w="0" w:type="dxa"/>
        <w:tblCellMar>
          <w:left w:w="0" w:type="dxa"/>
          <w:right w:w="0" w:type="dxa"/>
        </w:tblCellMar>
        <w:tblLook w:val="04A0"/>
      </w:tblPr>
      <w:tblGrid>
        <w:gridCol w:w="3968"/>
        <w:gridCol w:w="13"/>
        <w:gridCol w:w="503"/>
        <w:gridCol w:w="14"/>
        <w:gridCol w:w="906"/>
        <w:gridCol w:w="15"/>
        <w:gridCol w:w="856"/>
        <w:gridCol w:w="1015"/>
        <w:gridCol w:w="1980"/>
      </w:tblGrid>
      <w:tr w:rsidR="00BE5BB2" w:rsidRPr="00BE5BB2" w:rsidTr="00BE5BB2">
        <w:trPr>
          <w:tblCellSpacing w:w="0" w:type="dxa"/>
        </w:trPr>
        <w:tc>
          <w:tcPr>
            <w:tcW w:w="4140" w:type="dxa"/>
            <w:gridSpan w:val="2"/>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TÀI SẢN </w:t>
            </w:r>
          </w:p>
        </w:tc>
        <w:tc>
          <w:tcPr>
            <w:tcW w:w="525" w:type="dxa"/>
            <w:gridSpan w:val="2"/>
            <w:vAlign w:val="center"/>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Mã số</w:t>
            </w:r>
          </w:p>
        </w:tc>
        <w:tc>
          <w:tcPr>
            <w:tcW w:w="930" w:type="dxa"/>
            <w:gridSpan w:val="2"/>
            <w:vAlign w:val="center"/>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Thuyết</w:t>
            </w:r>
            <w:r w:rsidRPr="00BE5BB2">
              <w:rPr>
                <w:rFonts w:ascii="Times New Roman" w:eastAsia="Times New Roman" w:hAnsi="Times New Roman" w:cs="Times New Roman"/>
                <w:b/>
                <w:bCs/>
                <w:sz w:val="24"/>
                <w:szCs w:val="24"/>
              </w:rPr>
              <w:br/>
              <w:t>minh</w:t>
            </w:r>
          </w:p>
        </w:tc>
        <w:tc>
          <w:tcPr>
            <w:tcW w:w="1875" w:type="dxa"/>
            <w:gridSpan w:val="2"/>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30/9/2013</w:t>
            </w:r>
          </w:p>
        </w:tc>
        <w:tc>
          <w:tcPr>
            <w:tcW w:w="180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30/6/2013</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TÀI SẢN NGẮN HẠN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100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923.134.887.043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849.964.612.260</w:t>
            </w:r>
          </w:p>
        </w:tc>
      </w:tr>
      <w:tr w:rsidR="00BE5BB2" w:rsidRPr="00BE5BB2" w:rsidTr="00BE5BB2">
        <w:trPr>
          <w:tblCellSpacing w:w="0" w:type="dxa"/>
        </w:trPr>
        <w:tc>
          <w:tcPr>
            <w:tcW w:w="414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Tiền và các khoản tương đương tiền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110</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V.1</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325.519.246.097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295.054.924.507</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Tiền</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111</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11.107.775.984</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31.887.454.795</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Các khoản tương đương tiền</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112</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314.411.470.113</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263.167.469.712</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Các khoản đầu tư tài chính ngắn hạn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120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Phải thu ngắn hạn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130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311.118.095.031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391.739.417.591</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Phải thu khách hàng</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131</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128.099.787.779</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125.958.107.803</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Trả trước cho người bán</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132</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58.966.067.731</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37.929.857.231</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Các khoản phải thu khác</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135</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V.2</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205.519.306.721</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228.131.929.757</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Dự phòng các khoản phải thu khó đòi</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139</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V.3</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(280.477.200)</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(280.477.200)</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Hàng tồn kho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140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178.883.498.229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147.961.590.730</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Hàng tồn kho</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141</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V.4</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178.883.498.229</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147.961.590.730</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Tài sản ngắn hạn khác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150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26.427.457.686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15.208.679.432</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Thuế GTGT được khấu trừ</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152</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25.961.602.236</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14.793.484.891</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Thuế và các khoản phải thu nhà nước</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154</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Tài sản ngắn hạn khác</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158</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V.5</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465.855.450</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415.194.541</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TÀI SẢN DÀI HẠN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200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359.448.442.267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325.725.495.861</w:t>
            </w:r>
          </w:p>
        </w:tc>
      </w:tr>
      <w:tr w:rsidR="00BE5BB2" w:rsidRPr="00BE5BB2" w:rsidTr="00BE5BB2">
        <w:trPr>
          <w:tblCellSpacing w:w="0" w:type="dxa"/>
        </w:trPr>
        <w:tc>
          <w:tcPr>
            <w:tcW w:w="414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Các khoản phải thu dài hạn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210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Tài sản cố định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220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238.692.863.706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228.358.127.150</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Tài sản cố định hữu hình</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221</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V.6</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140.893.473.534</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150.398.694.683</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Nguyên giá</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222</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 xml:space="preserve">318.784.834.905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317.774.011.604</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Giá trị hao mòn lũy kế</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223</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(177.891.361.371)</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(167.375.316.921)</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Tài sản cố định vô hình</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227</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V.7</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37.882.619.418</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37.986.252.095</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Nguyên giá</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228</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 xml:space="preserve">40.799.147.387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40.706.315.387</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Giá trị hao mòn lũy kế</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229</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(2.916.527.969)</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(2.720.063.292)</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Chi phí xây dựng cơ bản dở dang</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230</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V.8</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59.916.770.754</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39.973.180.372</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lastRenderedPageBreak/>
              <w:t xml:space="preserve">Bất động sản đầu tư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240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Các khoản đầu tư tài chính dài hạn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250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117.357.256.966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94.432.914.588</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Đầu tư vào công ty liên kết, liên doanh</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252</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V.9</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117.357.256.966</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94.432.914.588</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Đầu tư tài chính dài hạn khác</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258</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V.10</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Tài sản dài hạn khác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260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3.398.321.596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2.934.454.123</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Chi phí trả trước dài hạn</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261</w:t>
            </w:r>
          </w:p>
        </w:tc>
        <w:tc>
          <w:tcPr>
            <w:tcW w:w="930"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V.11</w:t>
            </w: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3.366.571.596</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2.902.704.123</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Tài sản thuế thu nhập hoãn lại</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262</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Tài sản dài hạn khác</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268</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31.750.000</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31.750.000</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Lợi thế thương mại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269</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w:t>
            </w: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5"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40" w:type="dxa"/>
            <w:gridSpan w:val="2"/>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TỔNG CỘNG TÀI SẢN </w:t>
            </w:r>
          </w:p>
        </w:tc>
        <w:tc>
          <w:tcPr>
            <w:tcW w:w="525"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270</w:t>
            </w:r>
          </w:p>
        </w:tc>
        <w:tc>
          <w:tcPr>
            <w:tcW w:w="930"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75"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1.282.583.329.310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1.175.690.108.121</w:t>
            </w:r>
          </w:p>
        </w:tc>
      </w:tr>
      <w:tr w:rsidR="00BE5BB2" w:rsidRPr="00BE5BB2" w:rsidTr="00BE5BB2">
        <w:trPr>
          <w:gridAfter w:val="2"/>
          <w:wAfter w:w="2819" w:type="dxa"/>
          <w:tblCellSpacing w:w="0" w:type="dxa"/>
        </w:trPr>
        <w:tc>
          <w:tcPr>
            <w:tcW w:w="4127" w:type="dxa"/>
            <w:vAlign w:val="center"/>
            <w:hideMark/>
          </w:tcPr>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435619" w:rsidRDefault="00435619" w:rsidP="00BE5BB2">
            <w:pPr>
              <w:spacing w:before="100" w:beforeAutospacing="1" w:after="100" w:afterAutospacing="1" w:line="240" w:lineRule="auto"/>
              <w:rPr>
                <w:rFonts w:ascii="Times New Roman" w:eastAsia="Times New Roman" w:hAnsi="Times New Roman" w:cs="Times New Roman"/>
                <w:b/>
                <w:bCs/>
                <w:sz w:val="24"/>
                <w:szCs w:val="24"/>
              </w:rPr>
            </w:pPr>
          </w:p>
          <w:p w:rsidR="00435619" w:rsidRDefault="00435619"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r w:rsidRPr="00BE5BB2">
              <w:rPr>
                <w:rFonts w:ascii="Times New Roman" w:eastAsia="Times New Roman" w:hAnsi="Times New Roman" w:cs="Times New Roman"/>
                <w:b/>
                <w:bCs/>
                <w:sz w:val="24"/>
                <w:szCs w:val="24"/>
              </w:rPr>
              <w:t xml:space="preserve">GUỒN VỐN </w:t>
            </w:r>
          </w:p>
        </w:tc>
        <w:tc>
          <w:tcPr>
            <w:tcW w:w="524" w:type="dxa"/>
            <w:gridSpan w:val="2"/>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p>
        </w:tc>
        <w:tc>
          <w:tcPr>
            <w:tcW w:w="1800" w:type="dxa"/>
            <w:gridSpan w:val="4"/>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4"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NỢ PHẢI TRẢ </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300</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473.741.327.371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454.494.506.766</w:t>
            </w:r>
          </w:p>
        </w:tc>
      </w:tr>
      <w:tr w:rsidR="00BE5BB2" w:rsidRPr="00BE5BB2" w:rsidTr="00BE5BB2">
        <w:trPr>
          <w:tblCellSpacing w:w="0" w:type="dxa"/>
        </w:trPr>
        <w:tc>
          <w:tcPr>
            <w:tcW w:w="4127" w:type="dxa"/>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24"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Nợ ngắn hạn </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310</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473.741.327.371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454.494.506.766</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Vay và nợ ngắn hạn</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311</w:t>
            </w:r>
          </w:p>
        </w:tc>
        <w:tc>
          <w:tcPr>
            <w:tcW w:w="929"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V.12</w:t>
            </w: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193.799.750.917</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160.605.165.554</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Phải trả người bán</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312</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121.600.759.657</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131.125.459.235</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Người mua trả tiền trước</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313</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8.068.208.385</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1.652.946.191</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Thuế và các khoản phải nộp Nhà nước</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314</w:t>
            </w:r>
          </w:p>
        </w:tc>
        <w:tc>
          <w:tcPr>
            <w:tcW w:w="929"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V.13</w:t>
            </w: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26.658.310.339</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25.548.827.128</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Phải trả công nhân viên</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315</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6.786.881.184</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10.438.465.186</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Chi phí phải trả</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316</w:t>
            </w:r>
          </w:p>
        </w:tc>
        <w:tc>
          <w:tcPr>
            <w:tcW w:w="929"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V.14</w:t>
            </w: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9.269.314.752</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Các khoản phải trả, phải nộp khác</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319</w:t>
            </w:r>
          </w:p>
        </w:tc>
        <w:tc>
          <w:tcPr>
            <w:tcW w:w="929"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V.15</w:t>
            </w: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84.737.924.652</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83.704.107.399</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Quỹ khen thưởng phúc lợi</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323</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32.089.492.237</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32.150.221.321</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4"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Nợ dài hạn </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330</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Dự phòng trợ cấp mất việc làm</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336</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4"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NGUỒN VỐN </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400</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592.483.911.283</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537.375.265.842</w:t>
            </w:r>
          </w:p>
        </w:tc>
      </w:tr>
      <w:tr w:rsidR="00BE5BB2" w:rsidRPr="00BE5BB2" w:rsidTr="00BE5BB2">
        <w:trPr>
          <w:tblCellSpacing w:w="0" w:type="dxa"/>
        </w:trPr>
        <w:tc>
          <w:tcPr>
            <w:tcW w:w="4127" w:type="dxa"/>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24"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Nguồn vốn chủ sở hữu </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410</w:t>
            </w:r>
          </w:p>
        </w:tc>
        <w:tc>
          <w:tcPr>
            <w:tcW w:w="929"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V.16</w:t>
            </w: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592.483.911.283 </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537.375.265.842</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Vốn đầu tư của chủ sở hữu</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411</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220.000.000.000</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220.000.000.000</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Thặng dư vốn cổ phần</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412</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1.072.000.000</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1.072.000.000</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Cổ phiếu quỹ</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414</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(1.441.887)</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(1.441.887)</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Chênh lệnh tỷ giá hối đoái</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416</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Quỹ đầu tư phát triển</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417</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74.994.898.038</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74.994.898.038</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Quỹ Dự phòng tài chính</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418</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33.718.743.770</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33.718.743.770</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Lợi nhuận sau thuế chưa phân phối</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420</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262.699.711.362</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207.591.065.921</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lastRenderedPageBreak/>
              <w:t> </w:t>
            </w:r>
          </w:p>
        </w:tc>
        <w:tc>
          <w:tcPr>
            <w:tcW w:w="524"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Nguồn kinh phí và quỹ khác </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430</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4"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LỢI ÍCH CỦA CỔ ĐÔNG THIỂU SỐ </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439</w:t>
            </w:r>
          </w:p>
        </w:tc>
        <w:tc>
          <w:tcPr>
            <w:tcW w:w="929" w:type="dxa"/>
            <w:gridSpan w:val="2"/>
            <w:vAlign w:val="bottom"/>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V.17</w:t>
            </w: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216.358.090.657</w:t>
            </w:r>
          </w:p>
        </w:tc>
        <w:tc>
          <w:tcPr>
            <w:tcW w:w="180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183.820.335.513</w:t>
            </w: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24"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0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4127"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TỔNG CỘNG NGUỒN VỐN </w:t>
            </w:r>
          </w:p>
        </w:tc>
        <w:tc>
          <w:tcPr>
            <w:tcW w:w="524" w:type="dxa"/>
            <w:gridSpan w:val="2"/>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440</w:t>
            </w:r>
          </w:p>
        </w:tc>
        <w:tc>
          <w:tcPr>
            <w:tcW w:w="929" w:type="dxa"/>
            <w:gridSpan w:val="2"/>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890" w:type="dxa"/>
            <w:gridSpan w:val="3"/>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1.282.583.329.31</w:t>
            </w:r>
            <w:r>
              <w:rPr>
                <w:rFonts w:ascii="Times New Roman" w:eastAsia="Times New Roman" w:hAnsi="Times New Roman" w:cs="Times New Roman"/>
                <w:b/>
                <w:bCs/>
                <w:sz w:val="24"/>
                <w:szCs w:val="24"/>
              </w:rPr>
              <w:t>0</w:t>
            </w:r>
          </w:p>
        </w:tc>
        <w:tc>
          <w:tcPr>
            <w:tcW w:w="1800" w:type="dxa"/>
            <w:vAlign w:val="center"/>
            <w:hideMark/>
          </w:tcPr>
          <w:p w:rsidR="00BE5BB2" w:rsidRPr="00BE5BB2" w:rsidRDefault="00BE5BB2" w:rsidP="00BE5BB2">
            <w:pPr>
              <w:spacing w:before="100" w:beforeAutospacing="1" w:after="100" w:afterAutospacing="1" w:line="240" w:lineRule="auto"/>
              <w:ind w:left="180"/>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1.175.690.108.121</w:t>
            </w:r>
          </w:p>
        </w:tc>
      </w:tr>
    </w:tbl>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bl>
      <w:tblPr>
        <w:tblW w:w="9180" w:type="dxa"/>
        <w:tblCellSpacing w:w="0" w:type="dxa"/>
        <w:tblCellMar>
          <w:left w:w="0" w:type="dxa"/>
          <w:right w:w="0" w:type="dxa"/>
        </w:tblCellMar>
        <w:tblLook w:val="04A0"/>
      </w:tblPr>
      <w:tblGrid>
        <w:gridCol w:w="2870"/>
        <w:gridCol w:w="285"/>
        <w:gridCol w:w="285"/>
        <w:gridCol w:w="2870"/>
        <w:gridCol w:w="2870"/>
      </w:tblGrid>
      <w:tr w:rsidR="00BE5BB2" w:rsidRPr="00BE5BB2" w:rsidTr="00BE5BB2">
        <w:trPr>
          <w:tblCellSpacing w:w="0" w:type="dxa"/>
        </w:trPr>
        <w:tc>
          <w:tcPr>
            <w:tcW w:w="2865" w:type="dxa"/>
            <w:hideMark/>
          </w:tcPr>
          <w:p w:rsidR="00BE5BB2" w:rsidRPr="00BE5BB2" w:rsidRDefault="00BE5BB2" w:rsidP="00BE5BB2">
            <w:pPr>
              <w:spacing w:before="100" w:beforeAutospacing="1" w:after="100" w:afterAutospacing="1" w:line="240" w:lineRule="auto"/>
              <w:outlineLvl w:val="1"/>
              <w:rPr>
                <w:rFonts w:ascii="Times New Roman" w:eastAsia="Times New Roman" w:hAnsi="Times New Roman" w:cs="Times New Roman"/>
                <w:b/>
                <w:bCs/>
                <w:sz w:val="36"/>
                <w:szCs w:val="36"/>
              </w:rPr>
            </w:pPr>
            <w:r w:rsidRPr="00BE5BB2">
              <w:rPr>
                <w:rFonts w:ascii="Times New Roman" w:eastAsia="Times New Roman" w:hAnsi="Times New Roman" w:cs="Times New Roman"/>
                <w:b/>
                <w:bCs/>
                <w:sz w:val="36"/>
                <w:szCs w:val="36"/>
              </w:rPr>
              <w:t>Đào Hữu Huyền</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Tổng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Ngày 26 tháng 8 năm 2013</w:t>
            </w:r>
          </w:p>
        </w:tc>
        <w:tc>
          <w:tcPr>
            <w:tcW w:w="285"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28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286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2865" w:type="dxa"/>
            <w:hideMark/>
          </w:tcPr>
          <w:p w:rsidR="00BE5BB2" w:rsidRPr="00BE5BB2" w:rsidRDefault="00BE5BB2" w:rsidP="00BE5BB2">
            <w:pPr>
              <w:spacing w:before="100" w:beforeAutospacing="1" w:after="100" w:afterAutospacing="1" w:line="240" w:lineRule="auto"/>
              <w:outlineLvl w:val="1"/>
              <w:rPr>
                <w:rFonts w:ascii="Times New Roman" w:eastAsia="Times New Roman" w:hAnsi="Times New Roman" w:cs="Times New Roman"/>
                <w:b/>
                <w:bCs/>
                <w:sz w:val="36"/>
                <w:szCs w:val="36"/>
              </w:rPr>
            </w:pPr>
            <w:r w:rsidRPr="00BE5BB2">
              <w:rPr>
                <w:rFonts w:ascii="Times New Roman" w:eastAsia="Times New Roman" w:hAnsi="Times New Roman" w:cs="Times New Roman"/>
                <w:b/>
                <w:bCs/>
                <w:sz w:val="36"/>
                <w:szCs w:val="36"/>
              </w:rPr>
              <w:t>Đào Thị Mai</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Kế toán trưởng</w:t>
            </w:r>
          </w:p>
        </w:tc>
      </w:tr>
    </w:tbl>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jc w:val="center"/>
        <w:rPr>
          <w:rFonts w:ascii="Times New Roman" w:eastAsia="Times New Roman" w:hAnsi="Times New Roman" w:cs="Times New Roman"/>
          <w:b/>
          <w:bCs/>
          <w:sz w:val="24"/>
          <w:szCs w:val="24"/>
        </w:rPr>
      </w:pP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lastRenderedPageBreak/>
        <w:t>BÁO CÁO KẾT QUẢ HOẠT ĐỘNG KINH DOANH HỢP NHẤT</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Cho giai đoạn hoạt động từ ngày 01/07/2013 đến ngày 30/09/2013</w:t>
      </w:r>
    </w:p>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MẪU SỐ B 02-DN/HN</w:t>
      </w:r>
    </w:p>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Đơn vị tính: VND</w:t>
      </w:r>
    </w:p>
    <w:tbl>
      <w:tblPr>
        <w:tblW w:w="9180" w:type="dxa"/>
        <w:tblCellSpacing w:w="0" w:type="dxa"/>
        <w:tblCellMar>
          <w:left w:w="0" w:type="dxa"/>
          <w:right w:w="0" w:type="dxa"/>
        </w:tblCellMar>
        <w:tblLook w:val="04A0"/>
      </w:tblPr>
      <w:tblGrid>
        <w:gridCol w:w="5770"/>
        <w:gridCol w:w="571"/>
        <w:gridCol w:w="856"/>
        <w:gridCol w:w="1983"/>
      </w:tblGrid>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CHỈ TIÊU</w:t>
            </w:r>
          </w:p>
        </w:tc>
        <w:tc>
          <w:tcPr>
            <w:tcW w:w="570" w:type="dxa"/>
            <w:vAlign w:val="center"/>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Mã </w:t>
            </w:r>
            <w:r w:rsidRPr="00BE5BB2">
              <w:rPr>
                <w:rFonts w:ascii="Times New Roman" w:eastAsia="Times New Roman" w:hAnsi="Times New Roman" w:cs="Times New Roman"/>
                <w:b/>
                <w:bCs/>
                <w:sz w:val="24"/>
                <w:szCs w:val="24"/>
              </w:rPr>
              <w:br/>
              <w:t>số</w:t>
            </w:r>
          </w:p>
        </w:tc>
        <w:tc>
          <w:tcPr>
            <w:tcW w:w="855" w:type="dxa"/>
            <w:vAlign w:val="center"/>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Thuyết minh</w:t>
            </w:r>
          </w:p>
        </w:tc>
        <w:tc>
          <w:tcPr>
            <w:tcW w:w="1980" w:type="dxa"/>
            <w:vAlign w:val="bottom"/>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Từ 01/07/2013 </w:t>
            </w:r>
            <w:r w:rsidRPr="00BE5BB2">
              <w:rPr>
                <w:rFonts w:ascii="Times New Roman" w:eastAsia="Times New Roman" w:hAnsi="Times New Roman" w:cs="Times New Roman"/>
                <w:b/>
                <w:bCs/>
                <w:sz w:val="24"/>
                <w:szCs w:val="24"/>
              </w:rPr>
              <w:br/>
              <w:t>đến 30/09/2013</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Doanh thu bán hàng và cung cấp dịch vụ</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01</w:t>
            </w:r>
          </w:p>
        </w:tc>
        <w:tc>
          <w:tcPr>
            <w:tcW w:w="85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VI.1</w:t>
            </w: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499.283.612.379 </w:t>
            </w:r>
          </w:p>
        </w:tc>
      </w:tr>
      <w:tr w:rsidR="00BE5BB2" w:rsidRPr="00BE5BB2" w:rsidTr="00BE5BB2">
        <w:trPr>
          <w:tblCellSpacing w:w="0" w:type="dxa"/>
        </w:trPr>
        <w:tc>
          <w:tcPr>
            <w:tcW w:w="576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Các khoản giảm trừ doanh thu</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02</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21.625.554.426</w:t>
            </w:r>
          </w:p>
        </w:tc>
      </w:tr>
      <w:tr w:rsidR="00BE5BB2" w:rsidRPr="00BE5BB2" w:rsidTr="00BE5BB2">
        <w:trPr>
          <w:tblCellSpacing w:w="0" w:type="dxa"/>
        </w:trPr>
        <w:tc>
          <w:tcPr>
            <w:tcW w:w="576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Doanh thu thuần về bán hàng và cung cấp dịch vụ </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10</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477.658.057.953 </w:t>
            </w:r>
          </w:p>
        </w:tc>
      </w:tr>
      <w:tr w:rsidR="00BE5BB2" w:rsidRPr="00BE5BB2" w:rsidTr="00BE5BB2">
        <w:trPr>
          <w:tblCellSpacing w:w="0" w:type="dxa"/>
        </w:trPr>
        <w:tc>
          <w:tcPr>
            <w:tcW w:w="576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Giá vốn hàng bán</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11</w:t>
            </w:r>
          </w:p>
        </w:tc>
        <w:tc>
          <w:tcPr>
            <w:tcW w:w="85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VI.2</w:t>
            </w: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359.446.618.961 </w:t>
            </w:r>
          </w:p>
        </w:tc>
      </w:tr>
      <w:tr w:rsidR="00BE5BB2" w:rsidRPr="00BE5BB2" w:rsidTr="00BE5BB2">
        <w:trPr>
          <w:tblCellSpacing w:w="0" w:type="dxa"/>
        </w:trPr>
        <w:tc>
          <w:tcPr>
            <w:tcW w:w="576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Lợi nhuận gộp về bán hàng và cung cấp dịch vụ </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20</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118.211.438.992 </w:t>
            </w:r>
          </w:p>
        </w:tc>
      </w:tr>
      <w:tr w:rsidR="00BE5BB2" w:rsidRPr="00BE5BB2" w:rsidTr="00BE5BB2">
        <w:trPr>
          <w:tblCellSpacing w:w="0" w:type="dxa"/>
        </w:trPr>
        <w:tc>
          <w:tcPr>
            <w:tcW w:w="576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Doanh thu hoạt động tài chính</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21</w:t>
            </w:r>
          </w:p>
        </w:tc>
        <w:tc>
          <w:tcPr>
            <w:tcW w:w="85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VI.3</w:t>
            </w: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8.761.582.748</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Chi phí tài chính</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w:t>
            </w:r>
          </w:p>
        </w:tc>
        <w:tc>
          <w:tcPr>
            <w:tcW w:w="85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VI.4</w:t>
            </w: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3.068.818.428</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 xml:space="preserve">Trong đó: Chi phí lãi vay </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23</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 xml:space="preserve">1.216.142.855 </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Chi phí bán hàng</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24</w:t>
            </w:r>
          </w:p>
        </w:tc>
        <w:tc>
          <w:tcPr>
            <w:tcW w:w="85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22.673.267.472</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Chi phí quản lý doanh nghiệp</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25</w:t>
            </w:r>
          </w:p>
        </w:tc>
        <w:tc>
          <w:tcPr>
            <w:tcW w:w="85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4.116.820.702</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Lợi nhuận thuần từ hoạt động kinh doanh</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30</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97.114.115.138 </w:t>
            </w:r>
          </w:p>
        </w:tc>
      </w:tr>
      <w:tr w:rsidR="00BE5BB2" w:rsidRPr="00BE5BB2" w:rsidTr="00BE5BB2">
        <w:trPr>
          <w:tblCellSpacing w:w="0" w:type="dxa"/>
        </w:trPr>
        <w:tc>
          <w:tcPr>
            <w:tcW w:w="576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Thu nhập khác</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31</w:t>
            </w:r>
          </w:p>
        </w:tc>
        <w:tc>
          <w:tcPr>
            <w:tcW w:w="85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VI.5</w:t>
            </w: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Chi phí khác</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32</w:t>
            </w:r>
          </w:p>
        </w:tc>
        <w:tc>
          <w:tcPr>
            <w:tcW w:w="85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VI.6</w:t>
            </w: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170.500.000</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Lợi nhuận khác </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40</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(170.500.000)</w:t>
            </w:r>
          </w:p>
        </w:tc>
      </w:tr>
      <w:tr w:rsidR="00BE5BB2" w:rsidRPr="00BE5BB2" w:rsidTr="00BE5BB2">
        <w:trPr>
          <w:tblCellSpacing w:w="0" w:type="dxa"/>
        </w:trPr>
        <w:tc>
          <w:tcPr>
            <w:tcW w:w="576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Lợi nhuận từ Công ty liên kết, liên doanh</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50</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44.549.049 </w:t>
            </w:r>
          </w:p>
        </w:tc>
      </w:tr>
      <w:tr w:rsidR="00BE5BB2" w:rsidRPr="00BE5BB2" w:rsidTr="00BE5BB2">
        <w:trPr>
          <w:tblCellSpacing w:w="0" w:type="dxa"/>
        </w:trPr>
        <w:tc>
          <w:tcPr>
            <w:tcW w:w="576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Tổng lợi nhuận kế toán trước thuế </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50</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96.988.164.187 </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Chi phí thuế TNDN hiện hành</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51</w:t>
            </w:r>
          </w:p>
        </w:tc>
        <w:tc>
          <w:tcPr>
            <w:tcW w:w="85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VI.7</w:t>
            </w: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8.237.017.819</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Chi phí thuế TNDN hoãn lại</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62</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1.126.903</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Lợi nhuận sau thuế thu nhập  doanh nghiệp</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60</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88.750.019.465 </w:t>
            </w:r>
          </w:p>
        </w:tc>
      </w:tr>
      <w:tr w:rsidR="00BE5BB2" w:rsidRPr="00BE5BB2" w:rsidTr="00BE5BB2">
        <w:trPr>
          <w:tblCellSpacing w:w="0" w:type="dxa"/>
        </w:trPr>
        <w:tc>
          <w:tcPr>
            <w:tcW w:w="576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 xml:space="preserve">Trong đó: </w:t>
            </w: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Lợi nhuận sau thuế của Công ty mẹ</w:t>
            </w: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 xml:space="preserve">56.212.264.321 </w:t>
            </w:r>
          </w:p>
        </w:tc>
      </w:tr>
      <w:tr w:rsidR="00BE5BB2" w:rsidRPr="00BE5BB2" w:rsidTr="00BE5BB2">
        <w:trPr>
          <w:tblCellSpacing w:w="0" w:type="dxa"/>
        </w:trPr>
        <w:tc>
          <w:tcPr>
            <w:tcW w:w="5760"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Lợi ích cổ đông thiểu số</w:t>
            </w: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 xml:space="preserve">32.537.755.144 </w:t>
            </w:r>
          </w:p>
        </w:tc>
      </w:tr>
      <w:tr w:rsidR="00BE5BB2" w:rsidRPr="00BE5BB2" w:rsidTr="00BE5BB2">
        <w:trPr>
          <w:tblCellSpacing w:w="0" w:type="dxa"/>
        </w:trPr>
        <w:tc>
          <w:tcPr>
            <w:tcW w:w="5760" w:type="dxa"/>
            <w:vAlign w:val="bottom"/>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570"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5760" w:type="dxa"/>
            <w:vAlign w:val="bottom"/>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Lãi cơ bản trên cổ phiếu</w:t>
            </w:r>
          </w:p>
        </w:tc>
        <w:tc>
          <w:tcPr>
            <w:tcW w:w="57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70</w:t>
            </w:r>
          </w:p>
        </w:tc>
        <w:tc>
          <w:tcPr>
            <w:tcW w:w="85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1980" w:type="dxa"/>
            <w:vAlign w:val="center"/>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bl>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lastRenderedPageBreak/>
        <w:t> </w:t>
      </w:r>
    </w:p>
    <w:tbl>
      <w:tblPr>
        <w:tblW w:w="9180" w:type="dxa"/>
        <w:tblCellSpacing w:w="0" w:type="dxa"/>
        <w:tblCellMar>
          <w:left w:w="0" w:type="dxa"/>
          <w:right w:w="0" w:type="dxa"/>
        </w:tblCellMar>
        <w:tblLook w:val="04A0"/>
      </w:tblPr>
      <w:tblGrid>
        <w:gridCol w:w="2865"/>
        <w:gridCol w:w="390"/>
        <w:gridCol w:w="2775"/>
        <w:gridCol w:w="285"/>
        <w:gridCol w:w="2865"/>
      </w:tblGrid>
      <w:tr w:rsidR="00BE5BB2" w:rsidRPr="00BE5BB2" w:rsidTr="00BE5BB2">
        <w:trPr>
          <w:tblCellSpacing w:w="0" w:type="dxa"/>
        </w:trPr>
        <w:tc>
          <w:tcPr>
            <w:tcW w:w="2865" w:type="dxa"/>
            <w:hideMark/>
          </w:tcPr>
          <w:p w:rsidR="00BE5BB2" w:rsidRPr="00BE5BB2" w:rsidRDefault="00BE5BB2" w:rsidP="00BE5BB2">
            <w:pPr>
              <w:spacing w:before="100" w:beforeAutospacing="1" w:after="100" w:afterAutospacing="1" w:line="240" w:lineRule="auto"/>
              <w:outlineLvl w:val="1"/>
              <w:rPr>
                <w:rFonts w:ascii="Times New Roman" w:eastAsia="Times New Roman" w:hAnsi="Times New Roman" w:cs="Times New Roman"/>
                <w:b/>
                <w:bCs/>
                <w:sz w:val="36"/>
                <w:szCs w:val="36"/>
              </w:rPr>
            </w:pPr>
            <w:r w:rsidRPr="00BE5BB2">
              <w:rPr>
                <w:rFonts w:ascii="Times New Roman" w:eastAsia="Times New Roman" w:hAnsi="Times New Roman" w:cs="Times New Roman"/>
                <w:b/>
                <w:bCs/>
                <w:sz w:val="36"/>
                <w:szCs w:val="36"/>
              </w:rPr>
              <w:t>Đào Hữu Huyền</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Tổng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Ngày 26 tháng 10 năm 2013</w:t>
            </w:r>
          </w:p>
        </w:tc>
        <w:tc>
          <w:tcPr>
            <w:tcW w:w="39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2775"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28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2865" w:type="dxa"/>
            <w:hideMark/>
          </w:tcPr>
          <w:p w:rsidR="00BE5BB2" w:rsidRPr="00BE5BB2" w:rsidRDefault="00BE5BB2" w:rsidP="00BE5BB2">
            <w:pPr>
              <w:spacing w:before="100" w:beforeAutospacing="1" w:after="100" w:afterAutospacing="1" w:line="240" w:lineRule="auto"/>
              <w:outlineLvl w:val="1"/>
              <w:rPr>
                <w:rFonts w:ascii="Times New Roman" w:eastAsia="Times New Roman" w:hAnsi="Times New Roman" w:cs="Times New Roman"/>
                <w:b/>
                <w:bCs/>
                <w:sz w:val="36"/>
                <w:szCs w:val="36"/>
              </w:rPr>
            </w:pPr>
            <w:r w:rsidRPr="00BE5BB2">
              <w:rPr>
                <w:rFonts w:ascii="Times New Roman" w:eastAsia="Times New Roman" w:hAnsi="Times New Roman" w:cs="Times New Roman"/>
                <w:b/>
                <w:bCs/>
                <w:sz w:val="36"/>
                <w:szCs w:val="36"/>
              </w:rPr>
              <w:t>Đào Thị Mai</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Kế toán trưởng </w:t>
            </w:r>
          </w:p>
        </w:tc>
      </w:tr>
    </w:tbl>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p>
    <w:p w:rsidR="00E0498C" w:rsidRDefault="00E0498C" w:rsidP="00BE5BB2">
      <w:pPr>
        <w:spacing w:before="100" w:beforeAutospacing="1" w:after="100" w:afterAutospacing="1" w:line="240" w:lineRule="auto"/>
        <w:rPr>
          <w:rFonts w:ascii="Times New Roman" w:eastAsia="Times New Roman" w:hAnsi="Times New Roman" w:cs="Times New Roman"/>
          <w:sz w:val="24"/>
          <w:szCs w:val="24"/>
        </w:rPr>
      </w:pPr>
    </w:p>
    <w:p w:rsidR="00D02B26" w:rsidRDefault="00D02B26" w:rsidP="00E0498C">
      <w:pPr>
        <w:spacing w:before="100" w:beforeAutospacing="1" w:after="100" w:afterAutospacing="1" w:line="240" w:lineRule="auto"/>
        <w:rPr>
          <w:rFonts w:ascii="Times New Roman" w:eastAsia="Times New Roman" w:hAnsi="Times New Roman" w:cs="Times New Roman"/>
          <w:b/>
          <w:bCs/>
          <w:sz w:val="24"/>
          <w:szCs w:val="24"/>
        </w:rPr>
      </w:pP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lastRenderedPageBreak/>
        <w:t>BÁO CÁO LƯU CHUYỂN TIỀN TỆ HỢP NHẤT</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(Theo phương pháp gián tiếp)</w:t>
      </w:r>
    </w:p>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Cho giai đoạn hoạt động từ ngày 01/07/2013 đến ngày 30/9/2013</w:t>
      </w:r>
    </w:p>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MẪU SỐ B 03-DN/HN</w:t>
      </w:r>
    </w:p>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Đơn vị tính: VND</w:t>
      </w:r>
    </w:p>
    <w:tbl>
      <w:tblPr>
        <w:tblW w:w="9180" w:type="dxa"/>
        <w:tblCellSpacing w:w="0" w:type="dxa"/>
        <w:tblCellMar>
          <w:left w:w="0" w:type="dxa"/>
          <w:right w:w="0" w:type="dxa"/>
        </w:tblCellMar>
        <w:tblLook w:val="04A0"/>
      </w:tblPr>
      <w:tblGrid>
        <w:gridCol w:w="6030"/>
        <w:gridCol w:w="585"/>
        <w:gridCol w:w="2565"/>
      </w:tblGrid>
      <w:tr w:rsidR="00BE5BB2" w:rsidRPr="00BE5BB2" w:rsidTr="00BE5BB2">
        <w:trPr>
          <w:tblCellSpacing w:w="0" w:type="dxa"/>
        </w:trPr>
        <w:tc>
          <w:tcPr>
            <w:tcW w:w="6030" w:type="dxa"/>
            <w:vAlign w:val="center"/>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CHỈ TIÊU</w:t>
            </w:r>
          </w:p>
        </w:tc>
        <w:tc>
          <w:tcPr>
            <w:tcW w:w="585" w:type="dxa"/>
            <w:vAlign w:val="center"/>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Mã số</w:t>
            </w:r>
          </w:p>
        </w:tc>
        <w:tc>
          <w:tcPr>
            <w:tcW w:w="2565" w:type="dxa"/>
            <w:vAlign w:val="center"/>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 xml:space="preserve">Từ 01/7/2013 </w:t>
            </w:r>
            <w:r w:rsidRPr="00BE5BB2">
              <w:rPr>
                <w:rFonts w:ascii="Times New Roman" w:eastAsia="Times New Roman" w:hAnsi="Times New Roman" w:cs="Times New Roman"/>
                <w:b/>
                <w:bCs/>
                <w:sz w:val="24"/>
                <w:szCs w:val="24"/>
              </w:rPr>
              <w:br/>
              <w:t>đến 30/9/2013</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256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I. Lưu chuyển tiền từ hoạt động kinh doanh</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256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1. Lợi nhuận trước thuế</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01</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 xml:space="preserve">96.988.164.187 </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2. Điều chỉnh cho các khoản</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Khấu hao TSCĐ</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02</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 xml:space="preserve">10.712.509.127 </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Các khoản dự phòng</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03</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Lãi, lỗ từ hoạt động đầu tư</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05</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Chi phí lãi vay</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06</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 xml:space="preserve">1.216.142.855 </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3. Lợi nhuận từ hoạt động kinh doanh trước thay đổi vốn lưu động</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08</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 xml:space="preserve">108.916.816.169 </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(Tăng), giảm các khoản phải thu</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09</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(12.905.113.842)</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(Tăng), giảm hàng tồn kho</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10</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(30.921.907.499)</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Tăng, (giảm) các khoản phải trả</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11</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(13.991.619.258)</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(Tăng), giảm chi phí trả trước</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12</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(463.867.473)</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Tiền lãi vay đã trả</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13</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Thuế thu nhập doanh nghiệp đã nộp</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14</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Tiền chi khác cho hoạt động kinh doanh</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16</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(8.144.369.711)</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Lưu chuyển tiền thuần từ hoạt động kinh doanh</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20</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 xml:space="preserve">42.489.938.386 </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II. Lưu chuyển tiền từ hoạt động đầu tư</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256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1.Tiền chi để mua sắm, xây dựng TSCĐ và các tài sản dài hạn khác</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21</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(21.220.202.160)</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6.Tiền chi đầu tư góp vốn vào đơn vị khác</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26</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(24.000.000.000)</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7.Tiền thu lãi cho vay, cổ tức và lợi nhuận được chia</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27</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Lưu chuyển tiền thuần từ hoạt động đầu tư</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30</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(45.220.202.160)</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III. Lưu chuyển tiền từ hoạt động tài chính</w:t>
            </w:r>
          </w:p>
        </w:tc>
        <w:tc>
          <w:tcPr>
            <w:tcW w:w="58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256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3.Tiền vay ngắn hạn, dài hạn nhận được</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33</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 xml:space="preserve">33.194.585.363 </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4.Tiền chi trả nợ gốc vay</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34</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Lưu chuyển tiền thuần từ hoạt động tài chính</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40</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 xml:space="preserve">33.194.585.363 </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Lưu chuyển tiền thuần trong kỳ (50 = 20+30+40)</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50</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 xml:space="preserve">30.464.321.590 </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Tiền và tương đương tiền đầu kỳ</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60</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 xml:space="preserve">295.054.924.507 </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Ảnh hưởng của thay đổi tỷ giá hối đoái quy đổi ngoại tệ</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61</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w:t>
            </w:r>
          </w:p>
        </w:tc>
      </w:tr>
      <w:tr w:rsidR="00BE5BB2" w:rsidRPr="00BE5BB2" w:rsidTr="00BE5BB2">
        <w:trPr>
          <w:tblCellSpacing w:w="0" w:type="dxa"/>
        </w:trPr>
        <w:tc>
          <w:tcPr>
            <w:tcW w:w="603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Tiền và tương đương tiền cuối kỳ (70 = 50+60+61)</w:t>
            </w:r>
          </w:p>
        </w:tc>
        <w:tc>
          <w:tcPr>
            <w:tcW w:w="585" w:type="dxa"/>
            <w:hideMark/>
          </w:tcPr>
          <w:p w:rsidR="00BE5BB2" w:rsidRPr="00BE5BB2" w:rsidRDefault="00BE5BB2" w:rsidP="00BE5BB2">
            <w:pPr>
              <w:spacing w:before="100" w:beforeAutospacing="1" w:after="100" w:afterAutospacing="1" w:line="240" w:lineRule="auto"/>
              <w:jc w:val="center"/>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70</w:t>
            </w:r>
          </w:p>
        </w:tc>
        <w:tc>
          <w:tcPr>
            <w:tcW w:w="2565" w:type="dxa"/>
            <w:hideMark/>
          </w:tcPr>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b/>
                <w:bCs/>
                <w:i/>
                <w:iCs/>
                <w:sz w:val="24"/>
                <w:szCs w:val="24"/>
              </w:rPr>
              <w:t xml:space="preserve">325.519.246.097 </w:t>
            </w:r>
          </w:p>
        </w:tc>
      </w:tr>
    </w:tbl>
    <w:p w:rsidR="00BE5BB2" w:rsidRPr="00BE5BB2" w:rsidRDefault="00BE5BB2" w:rsidP="00BE5BB2">
      <w:pPr>
        <w:spacing w:before="100" w:beforeAutospacing="1" w:after="100" w:afterAutospacing="1" w:line="240" w:lineRule="auto"/>
        <w:jc w:val="right"/>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bl>
      <w:tblPr>
        <w:tblW w:w="9180" w:type="dxa"/>
        <w:tblCellSpacing w:w="0" w:type="dxa"/>
        <w:tblCellMar>
          <w:left w:w="0" w:type="dxa"/>
          <w:right w:w="0" w:type="dxa"/>
        </w:tblCellMar>
        <w:tblLook w:val="04A0"/>
      </w:tblPr>
      <w:tblGrid>
        <w:gridCol w:w="2870"/>
        <w:gridCol w:w="285"/>
        <w:gridCol w:w="2870"/>
        <w:gridCol w:w="285"/>
        <w:gridCol w:w="2870"/>
      </w:tblGrid>
      <w:tr w:rsidR="00BE5BB2" w:rsidRPr="00BE5BB2" w:rsidTr="00BE5BB2">
        <w:trPr>
          <w:tblCellSpacing w:w="0" w:type="dxa"/>
        </w:trPr>
        <w:tc>
          <w:tcPr>
            <w:tcW w:w="2870" w:type="dxa"/>
            <w:hideMark/>
          </w:tcPr>
          <w:p w:rsidR="00BE5BB2" w:rsidRPr="00BE5BB2" w:rsidRDefault="00BE5BB2" w:rsidP="00BE5BB2">
            <w:pPr>
              <w:spacing w:before="100" w:beforeAutospacing="1" w:after="100" w:afterAutospacing="1" w:line="240" w:lineRule="auto"/>
              <w:outlineLvl w:val="1"/>
              <w:rPr>
                <w:rFonts w:ascii="Times New Roman" w:eastAsia="Times New Roman" w:hAnsi="Times New Roman" w:cs="Times New Roman"/>
                <w:b/>
                <w:bCs/>
                <w:sz w:val="36"/>
                <w:szCs w:val="36"/>
              </w:rPr>
            </w:pPr>
            <w:r w:rsidRPr="00BE5BB2">
              <w:rPr>
                <w:rFonts w:ascii="Times New Roman" w:eastAsia="Times New Roman" w:hAnsi="Times New Roman" w:cs="Times New Roman"/>
                <w:b/>
                <w:bCs/>
                <w:sz w:val="36"/>
                <w:szCs w:val="36"/>
              </w:rPr>
              <w:lastRenderedPageBreak/>
              <w:t>Đào Hữu Huyền</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Tổng Giám đốc</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i/>
                <w:iCs/>
                <w:sz w:val="24"/>
                <w:szCs w:val="24"/>
              </w:rPr>
              <w:t>Ngày 26 tháng 10 năm 2013</w:t>
            </w:r>
          </w:p>
        </w:tc>
        <w:tc>
          <w:tcPr>
            <w:tcW w:w="285"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2870" w:type="dxa"/>
            <w:hideMark/>
          </w:tcPr>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tc>
        <w:tc>
          <w:tcPr>
            <w:tcW w:w="285" w:type="dxa"/>
            <w:hideMark/>
          </w:tcPr>
          <w:p w:rsidR="00BE5BB2" w:rsidRPr="00BE5BB2" w:rsidRDefault="00BE5BB2" w:rsidP="00BE5BB2">
            <w:pPr>
              <w:spacing w:after="0" w:line="240" w:lineRule="auto"/>
              <w:rPr>
                <w:rFonts w:ascii="Times New Roman" w:eastAsia="Times New Roman" w:hAnsi="Times New Roman" w:cs="Times New Roman"/>
                <w:sz w:val="24"/>
                <w:szCs w:val="24"/>
              </w:rPr>
            </w:pPr>
          </w:p>
        </w:tc>
        <w:tc>
          <w:tcPr>
            <w:tcW w:w="2870" w:type="dxa"/>
            <w:hideMark/>
          </w:tcPr>
          <w:p w:rsidR="00BE5BB2" w:rsidRPr="00BE5BB2" w:rsidRDefault="00BE5BB2" w:rsidP="00BE5BB2">
            <w:pPr>
              <w:spacing w:before="100" w:beforeAutospacing="1" w:after="100" w:afterAutospacing="1" w:line="240" w:lineRule="auto"/>
              <w:outlineLvl w:val="1"/>
              <w:rPr>
                <w:rFonts w:ascii="Times New Roman" w:eastAsia="Times New Roman" w:hAnsi="Times New Roman" w:cs="Times New Roman"/>
                <w:b/>
                <w:bCs/>
                <w:sz w:val="36"/>
                <w:szCs w:val="36"/>
              </w:rPr>
            </w:pPr>
            <w:r w:rsidRPr="00BE5BB2">
              <w:rPr>
                <w:rFonts w:ascii="Times New Roman" w:eastAsia="Times New Roman" w:hAnsi="Times New Roman" w:cs="Times New Roman"/>
                <w:b/>
                <w:bCs/>
                <w:sz w:val="36"/>
                <w:szCs w:val="36"/>
              </w:rPr>
              <w:t>Đào Thị Mai</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b/>
                <w:bCs/>
                <w:sz w:val="24"/>
                <w:szCs w:val="24"/>
              </w:rPr>
              <w:t>Kế toán trưởng</w:t>
            </w:r>
          </w:p>
        </w:tc>
      </w:tr>
    </w:tbl>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Pr="00BE5BB2" w:rsidRDefault="00BE5BB2" w:rsidP="00BE5BB2">
      <w:pPr>
        <w:spacing w:before="100" w:beforeAutospacing="1" w:after="100" w:afterAutospacing="1" w:line="240" w:lineRule="auto"/>
        <w:rPr>
          <w:rFonts w:ascii="Times New Roman" w:eastAsia="Times New Roman" w:hAnsi="Times New Roman" w:cs="Times New Roman"/>
          <w:sz w:val="24"/>
          <w:szCs w:val="24"/>
        </w:rPr>
      </w:pPr>
      <w:r w:rsidRPr="00BE5BB2">
        <w:rPr>
          <w:rFonts w:ascii="Times New Roman" w:eastAsia="Times New Roman" w:hAnsi="Times New Roman" w:cs="Times New Roman"/>
          <w:sz w:val="24"/>
          <w:szCs w:val="24"/>
        </w:rPr>
        <w:t> </w:t>
      </w: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p w:rsidR="00BE5BB2" w:rsidRDefault="00BE5BB2" w:rsidP="00BE5BB2">
      <w:pPr>
        <w:spacing w:before="100" w:beforeAutospacing="1" w:after="100" w:afterAutospacing="1" w:line="240" w:lineRule="auto"/>
        <w:rPr>
          <w:rFonts w:ascii="Times New Roman" w:eastAsia="Times New Roman" w:hAnsi="Times New Roman" w:cs="Times New Roman"/>
          <w:b/>
          <w:bCs/>
          <w:sz w:val="24"/>
          <w:szCs w:val="24"/>
        </w:rPr>
      </w:pPr>
    </w:p>
    <w:sectPr w:rsidR="00BE5BB2" w:rsidSect="00663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BD2"/>
    <w:multiLevelType w:val="multilevel"/>
    <w:tmpl w:val="3DD20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C6D18"/>
    <w:multiLevelType w:val="multilevel"/>
    <w:tmpl w:val="2238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0185B"/>
    <w:multiLevelType w:val="multilevel"/>
    <w:tmpl w:val="2494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0C396B"/>
    <w:multiLevelType w:val="multilevel"/>
    <w:tmpl w:val="08F0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DC5ACA"/>
    <w:multiLevelType w:val="multilevel"/>
    <w:tmpl w:val="902C7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065B0"/>
    <w:multiLevelType w:val="multilevel"/>
    <w:tmpl w:val="C35C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2A2541"/>
    <w:multiLevelType w:val="multilevel"/>
    <w:tmpl w:val="D3F0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F72218"/>
    <w:multiLevelType w:val="multilevel"/>
    <w:tmpl w:val="75B8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3799A"/>
    <w:multiLevelType w:val="multilevel"/>
    <w:tmpl w:val="DAC45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D27A8A"/>
    <w:multiLevelType w:val="multilevel"/>
    <w:tmpl w:val="C0762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7C6809"/>
    <w:multiLevelType w:val="multilevel"/>
    <w:tmpl w:val="37D2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D035FA"/>
    <w:multiLevelType w:val="multilevel"/>
    <w:tmpl w:val="D4AA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7B14E5"/>
    <w:multiLevelType w:val="multilevel"/>
    <w:tmpl w:val="6E60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704E96"/>
    <w:multiLevelType w:val="multilevel"/>
    <w:tmpl w:val="43404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445FF0"/>
    <w:multiLevelType w:val="multilevel"/>
    <w:tmpl w:val="9FC6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682F45"/>
    <w:multiLevelType w:val="multilevel"/>
    <w:tmpl w:val="2D7C4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5136D4"/>
    <w:multiLevelType w:val="multilevel"/>
    <w:tmpl w:val="5888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8D2AF8"/>
    <w:multiLevelType w:val="multilevel"/>
    <w:tmpl w:val="5E0A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12"/>
  </w:num>
  <w:num w:numId="5">
    <w:abstractNumId w:val="11"/>
  </w:num>
  <w:num w:numId="6">
    <w:abstractNumId w:val="16"/>
  </w:num>
  <w:num w:numId="7">
    <w:abstractNumId w:val="1"/>
  </w:num>
  <w:num w:numId="8">
    <w:abstractNumId w:val="13"/>
  </w:num>
  <w:num w:numId="9">
    <w:abstractNumId w:val="14"/>
  </w:num>
  <w:num w:numId="10">
    <w:abstractNumId w:val="7"/>
  </w:num>
  <w:num w:numId="11">
    <w:abstractNumId w:val="4"/>
  </w:num>
  <w:num w:numId="12">
    <w:abstractNumId w:val="9"/>
  </w:num>
  <w:num w:numId="13">
    <w:abstractNumId w:val="6"/>
  </w:num>
  <w:num w:numId="14">
    <w:abstractNumId w:val="17"/>
  </w:num>
  <w:num w:numId="15">
    <w:abstractNumId w:val="3"/>
  </w:num>
  <w:num w:numId="16">
    <w:abstractNumId w:val="15"/>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rsids>
    <w:rsidRoot w:val="00BE5BB2"/>
    <w:rsid w:val="00435619"/>
    <w:rsid w:val="005D2FC1"/>
    <w:rsid w:val="00663ED8"/>
    <w:rsid w:val="00BE5BB2"/>
    <w:rsid w:val="00D01C69"/>
    <w:rsid w:val="00D02B26"/>
    <w:rsid w:val="00E04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D8"/>
  </w:style>
  <w:style w:type="paragraph" w:styleId="Heading2">
    <w:name w:val="heading 2"/>
    <w:basedOn w:val="Normal"/>
    <w:link w:val="Heading2Char"/>
    <w:uiPriority w:val="9"/>
    <w:qFormat/>
    <w:rsid w:val="00BE5B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BB2"/>
    <w:rPr>
      <w:rFonts w:ascii="Times New Roman" w:eastAsia="Times New Roman" w:hAnsi="Times New Roman" w:cs="Times New Roman"/>
      <w:b/>
      <w:bCs/>
      <w:sz w:val="36"/>
      <w:szCs w:val="36"/>
    </w:rPr>
  </w:style>
  <w:style w:type="paragraph" w:styleId="NormalWeb">
    <w:name w:val="Normal (Web)"/>
    <w:basedOn w:val="Normal"/>
    <w:uiPriority w:val="99"/>
    <w:unhideWhenUsed/>
    <w:rsid w:val="00BE5B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BB2"/>
    <w:rPr>
      <w:b/>
      <w:bCs/>
    </w:rPr>
  </w:style>
  <w:style w:type="character" w:styleId="Emphasis">
    <w:name w:val="Emphasis"/>
    <w:basedOn w:val="DefaultParagraphFont"/>
    <w:uiPriority w:val="20"/>
    <w:qFormat/>
    <w:rsid w:val="00BE5BB2"/>
    <w:rPr>
      <w:i/>
      <w:iCs/>
    </w:rPr>
  </w:style>
</w:styles>
</file>

<file path=word/webSettings.xml><?xml version="1.0" encoding="utf-8"?>
<w:webSettings xmlns:r="http://schemas.openxmlformats.org/officeDocument/2006/relationships" xmlns:w="http://schemas.openxmlformats.org/wordprocessingml/2006/main">
  <w:divs>
    <w:div w:id="1170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1469</Words>
  <Characters>8378</Characters>
  <Application>Microsoft Office Word</Application>
  <DocSecurity>0</DocSecurity>
  <Lines>69</Lines>
  <Paragraphs>19</Paragraphs>
  <ScaleCrop>false</ScaleCrop>
  <Company>Microsoft</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kiemhongtt</dc:creator>
  <cp:keywords/>
  <dc:description/>
  <cp:lastModifiedBy>kiemhongtt</cp:lastModifiedBy>
  <cp:revision>4</cp:revision>
  <dcterms:created xsi:type="dcterms:W3CDTF">2014-07-10T03:56:00Z</dcterms:created>
  <dcterms:modified xsi:type="dcterms:W3CDTF">2014-07-10T04:12:00Z</dcterms:modified>
</cp:coreProperties>
</file>